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542A" w14:textId="77777777" w:rsidR="00DE453A" w:rsidRPr="00CA22B0" w:rsidRDefault="005433C8">
      <w:pPr>
        <w:spacing w:before="120" w:after="200"/>
        <w:jc w:val="center"/>
      </w:pPr>
      <w:r w:rsidRPr="00CA22B0">
        <w:rPr>
          <w:b/>
          <w:sz w:val="28"/>
        </w:rPr>
        <w:t>NEODYMIUM-MODIFIED CdZnSeS/ZnS QUANTUM DOTS: EVOLUTION OF OPTICAL RESPONSE AND EVIDENCE LIMITS FOR CORE/SHELL ARCHITECTURE</w:t>
      </w:r>
    </w:p>
    <w:p w14:paraId="4F16BA2E" w14:textId="77777777" w:rsidR="00DE453A" w:rsidRPr="00CA22B0" w:rsidRDefault="005433C8">
      <w:pPr>
        <w:spacing w:after="60"/>
        <w:jc w:val="center"/>
      </w:pPr>
      <w:r w:rsidRPr="00CA22B0">
        <w:rPr>
          <w:b/>
        </w:rPr>
        <w:t>Yu. K. Altudov</w:t>
      </w:r>
      <w:r w:rsidRPr="00CA22B0">
        <w:rPr>
          <w:b/>
          <w:sz w:val="16"/>
          <w:vertAlign w:val="superscript"/>
        </w:rPr>
        <w:t>1</w:t>
      </w:r>
      <w:r w:rsidRPr="00CA22B0">
        <w:rPr>
          <w:b/>
        </w:rPr>
        <w:t>, A. M. Pshukov</w:t>
      </w:r>
      <w:r w:rsidRPr="00CA22B0">
        <w:rPr>
          <w:b/>
          <w:sz w:val="16"/>
          <w:vertAlign w:val="superscript"/>
        </w:rPr>
        <w:t>1</w:t>
      </w:r>
      <w:r w:rsidRPr="00CA22B0">
        <w:rPr>
          <w:b/>
        </w:rPr>
        <w:t>, N. E. Pukhaeva</w:t>
      </w:r>
      <w:r w:rsidRPr="00CA22B0">
        <w:rPr>
          <w:b/>
          <w:sz w:val="16"/>
          <w:vertAlign w:val="superscript"/>
        </w:rPr>
        <w:t>1,2</w:t>
      </w:r>
      <w:r w:rsidRPr="00CA22B0">
        <w:rPr>
          <w:b/>
        </w:rPr>
        <w:t>, N. Kheswa</w:t>
      </w:r>
      <w:r w:rsidRPr="00CA22B0">
        <w:rPr>
          <w:b/>
          <w:sz w:val="16"/>
          <w:vertAlign w:val="superscript"/>
        </w:rPr>
        <w:t>3</w:t>
      </w:r>
      <w:r w:rsidRPr="00CA22B0">
        <w:rPr>
          <w:b/>
        </w:rPr>
        <w:t>, S. V. Dezhurov</w:t>
      </w:r>
      <w:r w:rsidRPr="00CA22B0">
        <w:rPr>
          <w:b/>
          <w:sz w:val="16"/>
          <w:vertAlign w:val="superscript"/>
        </w:rPr>
        <w:t>1</w:t>
      </w:r>
    </w:p>
    <w:p w14:paraId="35F15845" w14:textId="77777777" w:rsidR="00DE453A" w:rsidRPr="00CA22B0" w:rsidRDefault="005433C8">
      <w:pPr>
        <w:spacing w:after="20" w:line="240" w:lineRule="auto"/>
        <w:jc w:val="center"/>
      </w:pPr>
      <w:r w:rsidRPr="00CA22B0">
        <w:rPr>
          <w:sz w:val="15"/>
          <w:vertAlign w:val="superscript"/>
        </w:rPr>
        <w:t>1</w:t>
      </w:r>
      <w:r w:rsidRPr="00CA22B0">
        <w:rPr>
          <w:i/>
          <w:sz w:val="17"/>
        </w:rPr>
        <w:t>Kabardino-Balkarian State University named after H. M. Berbekov, Nalchik, Russia</w:t>
      </w:r>
    </w:p>
    <w:p w14:paraId="06D41594" w14:textId="77777777" w:rsidR="00DE453A" w:rsidRPr="00CA22B0" w:rsidRDefault="005433C8">
      <w:pPr>
        <w:spacing w:after="20" w:line="240" w:lineRule="auto"/>
        <w:jc w:val="center"/>
      </w:pPr>
      <w:r w:rsidRPr="00CA22B0">
        <w:rPr>
          <w:sz w:val="15"/>
          <w:vertAlign w:val="superscript"/>
        </w:rPr>
        <w:t>2</w:t>
      </w:r>
      <w:r w:rsidRPr="00CA22B0">
        <w:rPr>
          <w:i/>
          <w:sz w:val="17"/>
        </w:rPr>
        <w:t>Joint Institute for Nuclear Research, Dubna, Russia</w:t>
      </w:r>
    </w:p>
    <w:p w14:paraId="114C7F53" w14:textId="77777777" w:rsidR="00DE453A" w:rsidRPr="00CA22B0" w:rsidRDefault="005433C8">
      <w:pPr>
        <w:spacing w:after="20" w:line="240" w:lineRule="auto"/>
        <w:jc w:val="center"/>
      </w:pPr>
      <w:r w:rsidRPr="00CA22B0">
        <w:rPr>
          <w:sz w:val="15"/>
          <w:vertAlign w:val="superscript"/>
        </w:rPr>
        <w:t>3</w:t>
      </w:r>
      <w:r w:rsidRPr="00CA22B0">
        <w:rPr>
          <w:i/>
          <w:sz w:val="17"/>
        </w:rPr>
        <w:t>Accelerator Research Laboratory, Somerset West, South Africa</w:t>
      </w:r>
    </w:p>
    <w:p w14:paraId="3EBD3B3D" w14:textId="77777777" w:rsidR="00DE453A" w:rsidRPr="00CA22B0" w:rsidRDefault="005433C8">
      <w:pPr>
        <w:spacing w:before="80"/>
        <w:jc w:val="center"/>
      </w:pPr>
      <w:r w:rsidRPr="00CA22B0">
        <w:rPr>
          <w:b/>
          <w:sz w:val="24"/>
        </w:rPr>
        <w:t>Abstract</w:t>
      </w:r>
    </w:p>
    <w:p w14:paraId="7C9673D0" w14:textId="77777777" w:rsidR="00DE453A" w:rsidRPr="00CA22B0" w:rsidRDefault="005433C8">
      <w:pPr>
        <w:spacing w:after="160" w:line="269" w:lineRule="auto"/>
        <w:ind w:firstLine="454"/>
        <w:jc w:val="both"/>
      </w:pPr>
      <w:r w:rsidRPr="00CA22B0">
        <w:rPr>
          <w:sz w:val="21"/>
        </w:rPr>
        <w:t>Alloyed CdZnSeS quantum dots (QDs) were synthesized and subjected to three-cycle surface modification using Zn/S precursors and neodymium butyl xanthate (NdBuXt). To establish relationships between synthesis, optical response, and colloidal evolution, UV–Vis absorption, steady-state photoluminescence (PL), photoluminescence excitation (PLE), relative PL quantum yield (PLQY), and dynamic light scattering (DLS) data were comparatively analyzed for CdZnSeS cores, ZnS(Nd) control particles, previously studied CdS/ZnS(Nd 5%) nanocrystals, and the final CdZnSeS/ZnS(Nd) product. The CdS/ZnS(Nd 5%) reference exhibited reproducible blue emission at 454.9 ± 0.5 nm with a full width at half maximum (FWHM) of 25.0 ± 0.1 nm and a PLE maximum at 393.2 ± 1.9 nm. The CdZnSeS cores emitted at 506.1 nm with a FWHM of 45.3 nm and a relative PLQY of 57%, whereas the ZnS(Nd) control displayed a broad band centered near 426.1 nm. After Nd/ZnS modification, the PL maximum shifted slightly to 502.0 nm, the FWHM decreased to 43.6 nm, and the relative PLQY decreased to 35%. Simultaneously, the DLS Z-average increased from 11.54 to 14.91 nm, while the number-weighted distribution maximum shifted from 7.14 to 8.30 nm. These changes are consistent with surface or shell-like modification and retention of predominantly CdZnSeS-core-related emission. However, the characteristic NdBuXt absorption bands near 530, 590, 752, 808, and 879 nm were not unambiguously resolved in the purified final dispersion. Therefore, the current results do not establish substitutional Nd³⁺ incorporation into ZnS, shell uniformity, or direct Nd³⁺ luminescence. The obtained material is considered an optically active candidate nanocomponent for Nd-containing photonic and scintillation media, while its elemental composition, structure, near-infrared emission, stability, and γ-ray response require further verification.</w:t>
      </w:r>
    </w:p>
    <w:p w14:paraId="32E5FEE8" w14:textId="2E320174" w:rsidR="00DE453A" w:rsidRDefault="005433C8">
      <w:pPr>
        <w:spacing w:after="0"/>
        <w:jc w:val="both"/>
        <w:rPr>
          <w:sz w:val="21"/>
        </w:rPr>
      </w:pPr>
      <w:r w:rsidRPr="00CA22B0">
        <w:rPr>
          <w:b/>
          <w:sz w:val="21"/>
        </w:rPr>
        <w:t xml:space="preserve">Keywords: </w:t>
      </w:r>
      <w:r w:rsidRPr="00CA22B0">
        <w:rPr>
          <w:sz w:val="21"/>
        </w:rPr>
        <w:t xml:space="preserve">CdZnSeS; </w:t>
      </w:r>
      <w:proofErr w:type="gramStart"/>
      <w:r w:rsidRPr="00CA22B0">
        <w:rPr>
          <w:sz w:val="21"/>
        </w:rPr>
        <w:t>ZnS(</w:t>
      </w:r>
      <w:proofErr w:type="gramEnd"/>
      <w:r w:rsidRPr="00CA22B0">
        <w:rPr>
          <w:sz w:val="21"/>
        </w:rPr>
        <w:t>Nd); quantum dots; core/shell nanocrystals; neodymium; photoluminescence; dynamic light scattering; scintillation nanocomponents.</w:t>
      </w:r>
    </w:p>
    <w:p w14:paraId="5DFE88BD" w14:textId="77777777" w:rsidR="005433C8" w:rsidRPr="00871B88" w:rsidRDefault="005433C8" w:rsidP="005433C8">
      <w:pPr>
        <w:jc w:val="both"/>
        <w:rPr>
          <w:lang w:val="ru-RU"/>
        </w:rPr>
      </w:pPr>
      <w:r w:rsidRPr="00871B88">
        <w:rPr>
          <w:rFonts w:eastAsia="Times New Roman"/>
          <w:i/>
          <w:color w:val="000000"/>
          <w:sz w:val="20"/>
          <w:lang w:val="ru-RU"/>
        </w:rPr>
        <w:t>Работа выполнена при поддержке Российского научного фонда, проект № 25-12-00322.</w:t>
      </w:r>
    </w:p>
    <w:p w14:paraId="4F6E8559" w14:textId="77777777" w:rsidR="005433C8" w:rsidRPr="005433C8" w:rsidRDefault="005433C8">
      <w:pPr>
        <w:spacing w:after="0"/>
        <w:jc w:val="both"/>
        <w:rPr>
          <w:lang w:val="ru-RU"/>
        </w:rPr>
      </w:pPr>
    </w:p>
    <w:sectPr w:rsidR="005433C8" w:rsidRPr="005433C8" w:rsidSect="00034616">
      <w:pgSz w:w="11906" w:h="16838"/>
      <w:pgMar w:top="1134" w:right="1304" w:bottom="1134" w:left="130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24371027">
    <w:abstractNumId w:val="8"/>
  </w:num>
  <w:num w:numId="2" w16cid:durableId="1523978819">
    <w:abstractNumId w:val="6"/>
  </w:num>
  <w:num w:numId="3" w16cid:durableId="374161235">
    <w:abstractNumId w:val="5"/>
  </w:num>
  <w:num w:numId="4" w16cid:durableId="384985148">
    <w:abstractNumId w:val="4"/>
  </w:num>
  <w:num w:numId="5" w16cid:durableId="1843665209">
    <w:abstractNumId w:val="7"/>
  </w:num>
  <w:num w:numId="6" w16cid:durableId="47461005">
    <w:abstractNumId w:val="3"/>
  </w:num>
  <w:num w:numId="7" w16cid:durableId="816529457">
    <w:abstractNumId w:val="2"/>
  </w:num>
  <w:num w:numId="8" w16cid:durableId="1985507768">
    <w:abstractNumId w:val="1"/>
  </w:num>
  <w:num w:numId="9" w16cid:durableId="792672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4E1"/>
    <w:rsid w:val="0015074B"/>
    <w:rsid w:val="0026224B"/>
    <w:rsid w:val="0029639D"/>
    <w:rsid w:val="00326F90"/>
    <w:rsid w:val="003B534C"/>
    <w:rsid w:val="005433C8"/>
    <w:rsid w:val="00AA1D8D"/>
    <w:rsid w:val="00B47730"/>
    <w:rsid w:val="00CA22B0"/>
    <w:rsid w:val="00CB0664"/>
    <w:rsid w:val="00D17F11"/>
    <w:rsid w:val="00DE45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68BEEC"/>
  <w14:defaultImageDpi w14:val="300"/>
  <w15:docId w15:val="{5BEFAC0C-FD2C-4E5A-9941-EBB11C46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abstract — Nd-modified CdZnSeS/ZnS quantum dots</dc:title>
  <dc:subject>Optical response, DLS, neodymium, scintillation nanocomponents</dc:subject>
  <dc:creator>Yu. K. Altudov;A. M. Pshukov;N. E. Pukhaeva;N. Kheswa;S. V. Dezhurov</dc:creator>
  <cp:keywords>CdZnSeS; ZnS(Nd); quantum dots; core/shell nanocrystals; neodymium; photoluminescence; dynamic light scattering; scintillation nanocomponents</cp:keywords>
  <dc:description>generated by python-docx</dc:description>
  <cp:lastModifiedBy>Microsoft Office User</cp:lastModifiedBy>
  <cp:revision>2</cp:revision>
  <dcterms:created xsi:type="dcterms:W3CDTF">2026-08-20T09:06:00Z</dcterms:created>
  <dcterms:modified xsi:type="dcterms:W3CDTF">2026-08-20T09:06:00Z</dcterms:modified>
  <cp:category/>
</cp:coreProperties>
</file>